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E10" w:rsidRDefault="003064A1">
      <w:pPr>
        <w:contextualSpacing/>
        <w:jc w:val="center"/>
        <w:rPr>
          <w:b/>
          <w:sz w:val="32"/>
        </w:rPr>
      </w:pPr>
      <w:r>
        <w:rPr>
          <w:b/>
          <w:sz w:val="32"/>
        </w:rPr>
        <w:t>ДОГОВОР УСТУПКИ ПРАВ (ТРЕБОВАНИЙ)</w:t>
      </w:r>
    </w:p>
    <w:p w:rsidR="00AB1E10" w:rsidRDefault="00AB1E10">
      <w:pPr>
        <w:contextualSpacing/>
        <w:jc w:val="center"/>
        <w:rPr>
          <w:b/>
          <w:sz w:val="10"/>
        </w:rPr>
      </w:pPr>
    </w:p>
    <w:p w:rsidR="00AB1E10" w:rsidRDefault="003064A1">
      <w:pPr>
        <w:contextualSpacing/>
        <w:jc w:val="center"/>
        <w:rPr>
          <w:b/>
          <w:sz w:val="21"/>
        </w:rPr>
      </w:pPr>
      <w:r>
        <w:rPr>
          <w:b/>
          <w:sz w:val="21"/>
        </w:rPr>
        <w:t>Российская Федерация</w:t>
      </w:r>
    </w:p>
    <w:p w:rsidR="00AB1E10" w:rsidRDefault="003064A1">
      <w:pPr>
        <w:contextualSpacing/>
        <w:jc w:val="center"/>
        <w:rPr>
          <w:b/>
          <w:sz w:val="21"/>
        </w:rPr>
      </w:pPr>
      <w:r>
        <w:rPr>
          <w:b/>
          <w:sz w:val="21"/>
        </w:rPr>
        <w:t>Красноярский край, город Красноярск</w:t>
      </w:r>
    </w:p>
    <w:p w:rsidR="00AB1E10" w:rsidRDefault="00011E73">
      <w:pPr>
        <w:contextualSpacing/>
        <w:jc w:val="center"/>
        <w:rPr>
          <w:b/>
          <w:sz w:val="21"/>
        </w:rPr>
      </w:pPr>
      <w:r>
        <w:rPr>
          <w:b/>
          <w:sz w:val="21"/>
        </w:rPr>
        <w:t>________________________</w:t>
      </w:r>
      <w:r w:rsidR="003064A1">
        <w:rPr>
          <w:b/>
          <w:sz w:val="21"/>
        </w:rPr>
        <w:t xml:space="preserve"> две тысячи двадцать третьего года</w:t>
      </w:r>
    </w:p>
    <w:p w:rsidR="00AB1E10" w:rsidRDefault="00AB1E10">
      <w:pPr>
        <w:ind w:firstLine="708"/>
        <w:contextualSpacing/>
        <w:jc w:val="both"/>
        <w:rPr>
          <w:sz w:val="21"/>
        </w:rPr>
      </w:pPr>
    </w:p>
    <w:p w:rsidR="00AB1E10" w:rsidRDefault="003064A1">
      <w:pPr>
        <w:ind w:firstLine="424"/>
        <w:contextualSpacing/>
        <w:jc w:val="both"/>
        <w:rPr>
          <w:sz w:val="21"/>
          <w:u w:val="double"/>
        </w:rPr>
      </w:pPr>
      <w:r>
        <w:rPr>
          <w:b/>
          <w:sz w:val="21"/>
        </w:rPr>
        <w:t xml:space="preserve">Публичное акционерное общество </w:t>
      </w:r>
      <w:r>
        <w:rPr>
          <w:b/>
          <w:vanish/>
          <w:sz w:val="21"/>
        </w:rPr>
        <w:t>⌠</w:t>
      </w:r>
      <w:r>
        <w:rPr>
          <w:b/>
          <w:sz w:val="21"/>
        </w:rPr>
        <w:t>«Сбербанк России»</w:t>
      </w:r>
      <w:r>
        <w:rPr>
          <w:b/>
          <w:vanish/>
          <w:sz w:val="21"/>
        </w:rPr>
        <w:t>⌡</w:t>
      </w:r>
      <w:r>
        <w:rPr>
          <w:sz w:val="21"/>
        </w:rPr>
        <w:t>, адрес: 117312, город Москва, улица Вавилова, Д.19, зарегистрированное Центральным Банком Российской Федерации 20 июня 1991 года за № 1481, внесено в Единый государственный реестр юридических лиц Управлением Министерства Российской Федерации по налогам и сборам по г.</w:t>
      </w:r>
      <w:r w:rsidR="00011E73">
        <w:rPr>
          <w:sz w:val="21"/>
        </w:rPr>
        <w:t xml:space="preserve"> </w:t>
      </w:r>
      <w:r>
        <w:rPr>
          <w:sz w:val="21"/>
        </w:rPr>
        <w:t>Москве 16 августа 2002 года, ОГРН: 1027700132195,</w:t>
      </w:r>
      <w:r>
        <w:rPr>
          <w:vanish/>
          <w:sz w:val="21"/>
        </w:rPr>
        <w:t>⌠⌡</w:t>
      </w:r>
      <w:r>
        <w:rPr>
          <w:sz w:val="21"/>
        </w:rPr>
        <w:t xml:space="preserve"> ИНН:  7707083893, КПП: 773601001, </w:t>
      </w:r>
      <w:r>
        <w:rPr>
          <w:vanish/>
          <w:sz w:val="21"/>
        </w:rPr>
        <w:t>⌠</w:t>
      </w:r>
      <w:r>
        <w:rPr>
          <w:sz w:val="21"/>
        </w:rPr>
        <w:t>устав</w:t>
      </w:r>
      <w:r>
        <w:rPr>
          <w:vanish/>
          <w:sz w:val="21"/>
        </w:rPr>
        <w:t>⌡</w:t>
      </w:r>
      <w:r>
        <w:rPr>
          <w:sz w:val="21"/>
        </w:rPr>
        <w:t xml:space="preserve"> от 08 июня 2021 года, выписка из ЕГРЮЛ, сформированная в электронной форме на официальном сайте ФНС России и полученная с использованием телекоммуникационной сети Интернет по состоянию на </w:t>
      </w:r>
      <w:r>
        <w:rPr>
          <w:vanish/>
          <w:sz w:val="21"/>
        </w:rPr>
        <w:t>§</w:t>
      </w:r>
      <w:r>
        <w:rPr>
          <w:sz w:val="21"/>
        </w:rPr>
        <w:t xml:space="preserve">10 июня 2022 года под </w:t>
      </w:r>
      <w:r>
        <w:rPr>
          <w:vanish/>
          <w:sz w:val="21"/>
        </w:rPr>
        <w:t>§</w:t>
      </w:r>
      <w:r>
        <w:rPr>
          <w:sz w:val="21"/>
        </w:rPr>
        <w:t xml:space="preserve">№ ЮЭ9965-22-110494354, подписанная усиленной квалифицированной электронной подписью, </w:t>
      </w:r>
      <w:r w:rsidRPr="00011E73">
        <w:rPr>
          <w:sz w:val="21"/>
        </w:rPr>
        <w:t xml:space="preserve">в лице </w:t>
      </w:r>
      <w:r w:rsidR="00011E73">
        <w:rPr>
          <w:sz w:val="21"/>
        </w:rPr>
        <w:t>_____________________________</w:t>
      </w:r>
      <w:r w:rsidR="00011E73" w:rsidRPr="00011E73">
        <w:rPr>
          <w:sz w:val="21"/>
        </w:rPr>
        <w:t>________________</w:t>
      </w:r>
      <w:r w:rsidRPr="00011E73">
        <w:rPr>
          <w:sz w:val="21"/>
        </w:rPr>
        <w:t>, далее именуемое по тексту «Банк», «ЦЕДЕНТ», и</w:t>
      </w:r>
    </w:p>
    <w:p w:rsidR="00AB1E10" w:rsidRDefault="003064A1">
      <w:pPr>
        <w:ind w:firstLine="424"/>
        <w:contextualSpacing/>
        <w:jc w:val="both"/>
        <w:rPr>
          <w:b/>
          <w:sz w:val="21"/>
        </w:rPr>
      </w:pPr>
      <w:r>
        <w:rPr>
          <w:b/>
          <w:vanish/>
          <w:sz w:val="21"/>
        </w:rPr>
        <w:t>⌠</w:t>
      </w:r>
      <w:r w:rsidR="00011E73">
        <w:rPr>
          <w:b/>
          <w:vanish/>
          <w:sz w:val="21"/>
        </w:rPr>
        <w:t>_________________</w:t>
      </w:r>
      <w:r>
        <w:rPr>
          <w:sz w:val="21"/>
        </w:rPr>
        <w:t xml:space="preserve">, </w:t>
      </w:r>
      <w:r>
        <w:rPr>
          <w:vanish/>
          <w:sz w:val="21"/>
        </w:rPr>
        <w:t>⌠⌡</w:t>
      </w:r>
      <w:r>
        <w:rPr>
          <w:sz w:val="21"/>
        </w:rPr>
        <w:t xml:space="preserve">далее именуемый по тексту «ЦЕССИОНАРИЙ», а вместе именуемые </w:t>
      </w:r>
      <w:r>
        <w:rPr>
          <w:b/>
          <w:sz w:val="21"/>
        </w:rPr>
        <w:t>«</w:t>
      </w:r>
      <w:r>
        <w:rPr>
          <w:sz w:val="21"/>
        </w:rPr>
        <w:t>Стороны», заключили настоящий договор (далее - Договор) о нижеследующем:</w:t>
      </w:r>
    </w:p>
    <w:tbl>
      <w:tblPr>
        <w:tblStyle w:val="1"/>
        <w:tblW w:w="5000" w:type="pct"/>
        <w:jc w:val="right"/>
        <w:tblBorders>
          <w:top w:val="none" w:sz="0" w:space="0" w:color="000000"/>
          <w:left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481"/>
      </w:tblGrid>
      <w:tr w:rsidR="00AB1E10">
        <w:trPr>
          <w:jc w:val="right"/>
        </w:trPr>
        <w:tc>
          <w:tcPr>
            <w:tcW w:w="1041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>
            <w:pPr>
              <w:tabs>
                <w:tab w:val="left" w:pos="282"/>
                <w:tab w:val="left" w:pos="708"/>
                <w:tab w:val="left" w:pos="1131"/>
                <w:tab w:val="left" w:pos="1416"/>
                <w:tab w:val="left" w:pos="2124"/>
                <w:tab w:val="left" w:pos="2832"/>
                <w:tab w:val="left" w:pos="3112"/>
                <w:tab w:val="left" w:pos="3540"/>
                <w:tab w:val="left" w:pos="3820"/>
                <w:tab w:val="left" w:pos="4103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jc w:val="center"/>
              <w:rPr>
                <w:sz w:val="21"/>
              </w:rPr>
            </w:pPr>
            <w:r>
              <w:rPr>
                <w:b/>
                <w:sz w:val="21"/>
              </w:rPr>
              <w:t>1. Предмет Договора</w:t>
            </w:r>
          </w:p>
          <w:p w:rsidR="00AB1E10" w:rsidRDefault="003064A1">
            <w:pPr>
              <w:numPr>
                <w:ilvl w:val="1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b/>
                <w:sz w:val="21"/>
              </w:rPr>
            </w:pPr>
            <w:r>
              <w:rPr>
                <w:b/>
                <w:sz w:val="21"/>
              </w:rPr>
              <w:t>ЦЕДЕНТ уступает в полном объеме ЦЕССИОНАРИЮ права (требования):</w:t>
            </w:r>
          </w:p>
          <w:p w:rsidR="00FA7D2D" w:rsidRDefault="00FA7D2D">
            <w:p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FA7D2D" w:rsidRDefault="00FA7D2D">
            <w:p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011E73">
            <w:p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Далее Должник, </w:t>
            </w:r>
            <w:r w:rsidR="003064A1">
              <w:rPr>
                <w:sz w:val="21"/>
              </w:rPr>
              <w:t>совместно именую</w:t>
            </w:r>
            <w:r>
              <w:rPr>
                <w:sz w:val="21"/>
              </w:rPr>
              <w:t xml:space="preserve">тся Должники. Кредитный договор, </w:t>
            </w:r>
            <w:r w:rsidR="003064A1">
              <w:rPr>
                <w:sz w:val="21"/>
              </w:rPr>
              <w:t>далее совместно именуются Кредитные договоры.</w:t>
            </w:r>
          </w:p>
          <w:p w:rsidR="00AB1E10" w:rsidRDefault="003064A1">
            <w:pPr>
              <w:numPr>
                <w:ilvl w:val="1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</w:rPr>
            </w:pPr>
            <w:r>
              <w:rPr>
                <w:b/>
                <w:sz w:val="21"/>
              </w:rPr>
              <w:t xml:space="preserve">Общая сумма уступаемых ЦЕССИОНАРИЮ прав (требований) составляет </w:t>
            </w:r>
            <w:r>
              <w:rPr>
                <w:b/>
                <w:vanish/>
                <w:sz w:val="21"/>
              </w:rPr>
              <w:t>⌠</w:t>
            </w:r>
            <w:r w:rsidR="00011E73">
              <w:rPr>
                <w:b/>
                <w:sz w:val="21"/>
              </w:rPr>
              <w:t>__________________</w:t>
            </w:r>
            <w:r>
              <w:rPr>
                <w:b/>
                <w:sz w:val="21"/>
              </w:rPr>
              <w:t>,</w:t>
            </w:r>
            <w:r>
              <w:rPr>
                <w:sz w:val="21"/>
              </w:rPr>
              <w:t xml:space="preserve"> из них:</w:t>
            </w:r>
          </w:p>
          <w:p w:rsidR="00AB1E10" w:rsidRDefault="003064A1">
            <w:pPr>
              <w:numPr>
                <w:ilvl w:val="2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по Кредитному </w:t>
            </w:r>
            <w:proofErr w:type="gramStart"/>
            <w:r>
              <w:rPr>
                <w:sz w:val="21"/>
              </w:rPr>
              <w:t>договору  в</w:t>
            </w:r>
            <w:proofErr w:type="gramEnd"/>
            <w:r>
              <w:rPr>
                <w:sz w:val="21"/>
              </w:rPr>
              <w:t xml:space="preserve"> сумме, в </w:t>
            </w:r>
            <w:proofErr w:type="spellStart"/>
            <w:r>
              <w:rPr>
                <w:sz w:val="21"/>
              </w:rPr>
              <w:t>т.ч</w:t>
            </w:r>
            <w:proofErr w:type="spellEnd"/>
            <w:r>
              <w:rPr>
                <w:sz w:val="21"/>
              </w:rPr>
              <w:t xml:space="preserve">.: </w:t>
            </w:r>
          </w:p>
          <w:p w:rsidR="00011E73" w:rsidRDefault="00011E73" w:rsidP="00011E73">
            <w:p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425"/>
              <w:contextualSpacing/>
              <w:rPr>
                <w:sz w:val="21"/>
              </w:rPr>
            </w:pPr>
          </w:p>
          <w:p w:rsidR="00AB1E10" w:rsidRDefault="003064A1">
            <w:pPr>
              <w:numPr>
                <w:ilvl w:val="1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  <w:u w:val="double"/>
              </w:rPr>
            </w:pPr>
            <w:r>
              <w:rPr>
                <w:sz w:val="21"/>
                <w:u w:val="double"/>
              </w:rPr>
              <w:t xml:space="preserve">В соответствии со ст. 384 ГК РФ к ЦЕССИОНАРИЮ переходят права по договорам </w:t>
            </w:r>
            <w:r>
              <w:rPr>
                <w:color w:val="FF0000"/>
                <w:sz w:val="21"/>
                <w:u w:val="double"/>
              </w:rPr>
              <w:t xml:space="preserve">(Приложение № 1 к Договору), </w:t>
            </w:r>
            <w:r>
              <w:rPr>
                <w:sz w:val="21"/>
                <w:u w:val="double"/>
              </w:rPr>
              <w:t xml:space="preserve">заключенным в обеспечение исполнения обязательств Должников по Кредитным договорам, указанным в п.1.1. настоящего договора, а также договорам, заключенным в обеспечение исполнения обязательств Поручителей по Договорам поручительства, обеспечивающим исполнение обязательств по Кредитным </w:t>
            </w:r>
            <w:proofErr w:type="gramStart"/>
            <w:r>
              <w:rPr>
                <w:sz w:val="21"/>
                <w:u w:val="double"/>
              </w:rPr>
              <w:t>договорам  (</w:t>
            </w:r>
            <w:proofErr w:type="gramEnd"/>
            <w:r>
              <w:rPr>
                <w:sz w:val="21"/>
                <w:u w:val="double"/>
              </w:rPr>
              <w:t>далее – «Обеспечительные договоры»), а именно:</w:t>
            </w:r>
          </w:p>
          <w:p w:rsidR="00AB1E10" w:rsidRDefault="003064A1" w:rsidP="00011E73">
            <w:pPr>
              <w:numPr>
                <w:ilvl w:val="2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по Договору поручительства </w:t>
            </w:r>
          </w:p>
          <w:p w:rsidR="00011E73" w:rsidRDefault="003064A1" w:rsidP="007A75F5">
            <w:pPr>
              <w:numPr>
                <w:ilvl w:val="2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</w:rPr>
            </w:pPr>
            <w:r w:rsidRPr="00011E73">
              <w:rPr>
                <w:sz w:val="21"/>
              </w:rPr>
              <w:t xml:space="preserve">по Договору залога </w:t>
            </w:r>
          </w:p>
          <w:p w:rsidR="00AB1E10" w:rsidRDefault="003064A1">
            <w:pPr>
              <w:numPr>
                <w:ilvl w:val="1"/>
                <w:numId w:val="1"/>
              </w:numPr>
              <w:tabs>
                <w:tab w:val="left" w:pos="708"/>
                <w:tab w:val="left" w:pos="99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4"/>
              <w:contextualSpacing/>
              <w:rPr>
                <w:sz w:val="21"/>
              </w:rPr>
            </w:pPr>
            <w:r>
              <w:rPr>
                <w:sz w:val="21"/>
              </w:rPr>
              <w:t>Стороны договорились что стоимость (цена) уступаемых ЦЕССИОНАРИЮ по Договору уступки прав (требований) составляет</w:t>
            </w:r>
            <w:r w:rsidR="00011E73">
              <w:rPr>
                <w:sz w:val="21"/>
              </w:rPr>
              <w:t>__________________</w:t>
            </w:r>
            <w:r>
              <w:rPr>
                <w:sz w:val="21"/>
              </w:rPr>
              <w:t>, из них:</w:t>
            </w:r>
          </w:p>
          <w:p w:rsidR="00011E73" w:rsidRDefault="003064A1" w:rsidP="00011E7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1.4.1 Стоимость (цена) уступаемых Цессионарию прав по Кредитному договору </w:t>
            </w:r>
          </w:p>
          <w:p w:rsidR="00011E73" w:rsidRDefault="00011E73" w:rsidP="00011E7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011E73" w:rsidRDefault="00011E73" w:rsidP="00011E7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 w:rsidP="00011E7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ЦЕДЕНТ заверяет ЦЕССИОНАРИЯ, что: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права (требования) к должникам, залогодателям, поручителям, которые уступаются по Договору, являются действительными;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задолженность Должников возникла на законных основаниях, не погашена, не прощена, ЦЕДЕНТ не предоставлял права и не давал согласия на прекращение прав (требований) путем полного или частичного зачета Должникам своих прав (требований);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права (требования) не уступлены, не проданы, не заложены, не переданы и не обещаны ЦЕДЕНТОМ любому третьему лицу, а также ЦЕДЕНТ не создал возникновения любого другого обременения в отношении прав (требований) на дату заключения Договора за исключением информации, с которой ЦЕССИОНАРИЙ ознакомился;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- условиями Кредитных договоров, Обеспечительных договоров не предусмотрено получение согласия должников, залогодателей, поручителей на переход прав ЦЕДЕНТА третьим лицам или ограничение объемов прав, уступаемых третьим лицам, или любых других ограничений, которые </w:t>
            </w:r>
            <w:r>
              <w:rPr>
                <w:sz w:val="21"/>
              </w:rPr>
              <w:lastRenderedPageBreak/>
              <w:t>могут воспрепятствовать уступке прав (требований) по Договору, или если такое согласие требуется, то оно было получено;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задолженность Должников является достоверной на дату заключения Договора, и сумма такой задолженности подтверждается документально;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у него отсутствует информация о третьих лицах, которые могут иметь права требования к Должникам, основанные на ст.313 ГК РФ, которые обеспечиваются уступаемыми по настоящему договору залогами.</w:t>
            </w:r>
          </w:p>
          <w:p w:rsidR="00AB1E10" w:rsidRDefault="003064A1">
            <w:pPr>
              <w:numPr>
                <w:ilvl w:val="1"/>
                <w:numId w:val="1"/>
              </w:numPr>
              <w:tabs>
                <w:tab w:val="left" w:pos="708"/>
                <w:tab w:val="left" w:pos="849"/>
                <w:tab w:val="left" w:pos="113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</w:rPr>
            </w:pPr>
            <w:r>
              <w:rPr>
                <w:sz w:val="21"/>
              </w:rPr>
              <w:t>ЦЕССИОНАРИЙ заверяет, что: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извещён о состоянии приобретаемых прав (требований) и действует в своих интересах и учитывает риски, сопровождающие полученные им по цессии права (требования) к Должникам;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провел все необходимые и достаточные действия, которые позволили ему убедиться в действительности передаваемых прав;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ознакомлен с условиями Кредитных договоров, указанных в п. 1.1. Договора, д</w:t>
            </w:r>
            <w:r w:rsidR="00011E73">
              <w:rPr>
                <w:sz w:val="21"/>
              </w:rPr>
              <w:t>ополнительных соглашений к ним</w:t>
            </w:r>
            <w:r>
              <w:rPr>
                <w:sz w:val="21"/>
              </w:rPr>
              <w:t>, указанных в пунктах 1.1., 1.3. Договора, а также договоров, заключенных в их обеспечение (со всеми изменениями и дополнениями к ним);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ознакомился с документами, связанными с заключением и исполнением Кредитных договоров, а также сделок, заключенных в их обеспечение, и пришел к выводу, что Кредитные договоры и сделки, заключенные в обеспечение исполнения обязательств  Должников по Кредитным договорам и Поручителей по Договорам поручительства, являются действительными и надлежащим образом заключенными сделками, в том числе не имеют оснований к оспариванию в соответствии со ст. ст. 61.2, 61.3 Федерального закона от 26.10.2012 № 127-ФЗ «О несостоятельности (банкротстве)», ст. 10, ст. 168 Гражданского кодекса РФ, что права (требования), вытекающие из указанных сделок, являются действительными;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- ему известно фактическое состояние предметов залога, обеспечивающих исполнение обязательств по Кредитным договорам/Договорам поручительства, их местонахождение, а также все имеющиеся обременения в отношении заложенного имущества, вся информация об актуальных собственниках предметов залога, а также о риске отказа в удовлетворении исковых требований об обращении взыскания на залог в случае признания актуальных собственников добросовестными покупателями; 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ЦЕССИОНАРИЙ ознакомился с информацией об исках, предъявленными в суд в отношении сделок ЦЕДЕНТА и Должников, сделок, заключенных в обеспечение исполнения обязательств Должников по Кредитным договорам, о заявлениях о признании Должников и лиц, предоставивших обеспечение по обязательствам Должников, банкротом, и заключает настоящий договор, осознавая и понимая юридически значимые обстоятельства и последствия, которые могут возникнуть в результате данных судебных процедур;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при осуществлении прав кредитора будет действовать добросовестно.</w:t>
            </w:r>
          </w:p>
          <w:p w:rsidR="00AB1E10" w:rsidRDefault="003064A1">
            <w:pPr>
              <w:numPr>
                <w:ilvl w:val="1"/>
                <w:numId w:val="1"/>
              </w:numPr>
              <w:tabs>
                <w:tab w:val="left" w:pos="708"/>
                <w:tab w:val="left" w:pos="99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 w:firstLine="425"/>
              <w:contextualSpacing/>
              <w:rPr>
                <w:sz w:val="21"/>
              </w:rPr>
            </w:pPr>
            <w:r>
              <w:rPr>
                <w:sz w:val="21"/>
              </w:rPr>
              <w:t>ЦЕССИОНАРИЙ при определении размера денежных средств, которые он будет обязан перечислить на основании настоящего договора в счет оплаты уступаемых прав, принимал во внимание финансовое состояние, состояние кредиторской и дебиторской задолженности, забалансовые обязательства, все иски и иные заявления, предъявленные в суд в отношении Должников и лиц, предоставивших обеспечение по обязательствам  Должников, возможность поручителя уменьшить размер своей ответственности, в том числе  на основании положений п. 4. ст. 363 ГК РФ. С учетом всех вышеперечисленных обстоятельств, которые принимались во внимание ЦЕСИОНАРИЕМ, он подтверждает, что размер платы, передаваемой ЦЕДЕНТУ по Договору, равноценен реальной рыночной стоимости уступаемых прав в текущей ситуации.</w:t>
            </w:r>
          </w:p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2. Обязанности Сторон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2.1. Стороны договорились, что в оплату уступаемых прав (требований) ЦЕССИОНАРИЙ обязуется перечислить на счет ЦЕДЕНТА, указанный в п.6.1 Договора, </w:t>
            </w:r>
          </w:p>
          <w:p w:rsidR="00C757F4" w:rsidRPr="001D6988" w:rsidRDefault="00C757F4" w:rsidP="00C757F4">
            <w:pPr>
              <w:pStyle w:val="20"/>
              <w:ind w:firstLine="567"/>
              <w:rPr>
                <w:b w:val="0"/>
                <w:bCs/>
                <w:sz w:val="20"/>
                <w:szCs w:val="20"/>
              </w:rPr>
            </w:pPr>
            <w:r w:rsidRPr="00011E73">
              <w:rPr>
                <w:b w:val="0"/>
                <w:sz w:val="20"/>
                <w:szCs w:val="20"/>
              </w:rPr>
              <w:t xml:space="preserve">ЦЕССИОНАРИЙ обязуется не позднее дня, следующего за днем подписания Договора, направить в Общество с ограниченной ответственностью </w:t>
            </w:r>
            <w:r w:rsidRPr="00011E73">
              <w:rPr>
                <w:rFonts w:eastAsia="Calibri"/>
                <w:b w:val="0"/>
                <w:color w:val="000000" w:themeColor="text1"/>
                <w:sz w:val="20"/>
                <w:szCs w:val="20"/>
              </w:rPr>
              <w:t>«</w:t>
            </w:r>
            <w:r w:rsidRPr="00011E73">
              <w:rPr>
                <w:b w:val="0"/>
                <w:sz w:val="20"/>
                <w:szCs w:val="20"/>
              </w:rPr>
              <w:t>Специализированный аукционный центр» (ИНН 7724590607, ОГРН 5067746760747) поручение о перечислении средств задатка, перечисленных для участия в аукционе в счет оплаты по договору цессии, на счет ЦЕДЕНТА, указанный в п.6.1. Договора.</w:t>
            </w:r>
          </w:p>
          <w:p w:rsidR="009D0BC7" w:rsidRDefault="009D0B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2.2. Указанная в п.2.1 сумма выплачивается ЦЕССИОНАРИЕМ ЦЕДЕНТУ в течение 5 (пяти) рабочих дней с даты подписания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2.3. Переход уступаемых прав (требований) по Договору осуществляется в момент поступления от ЦЕССИОНАРИЯ денежных средств в сумме, указанной в п.2.1 Договора, в полном объеме на счет ЦЕДЕНТА, указанный в п.6.1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lastRenderedPageBreak/>
              <w:t xml:space="preserve">К ЦЕССИОНАРИЮ также в полном объеме переходят права по всем договорам залога, поручительства, заключенным в обеспечение обязательств по Кредитным договорам/Договорам поручительства. 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2.4. В течение 10 (десяти) рабочих дней с даты поступления денежных средств на счет ЦЕДЕНТА в сумме, указанной в п.2.1 Договора, в полном объеме ЦЕДЕНТ обязуется передать ЦЕССИОНАРИЮ по Акту приема-передачи (Приложени</w:t>
            </w:r>
            <w:r>
              <w:rPr>
                <w:color w:val="FF0000"/>
                <w:sz w:val="21"/>
              </w:rPr>
              <w:t>е № 2)</w:t>
            </w:r>
            <w:r>
              <w:rPr>
                <w:sz w:val="21"/>
              </w:rPr>
              <w:t xml:space="preserve"> документы, подтверждающие уступаемые права (требования), согласно перечню, содержащемуся в Приложении </w:t>
            </w:r>
            <w:r>
              <w:rPr>
                <w:color w:val="FF0000"/>
                <w:sz w:val="21"/>
              </w:rPr>
              <w:t xml:space="preserve">№ 3, </w:t>
            </w:r>
            <w:r>
              <w:rPr>
                <w:sz w:val="21"/>
              </w:rPr>
              <w:t>которое является неотъемлемой частью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2.5. В течение 5 (пяти) рабочих дней с даты поступления денежных средств на счет ЦЕДЕНТА в сумме, указанной в п.2.1 Договора, в полном объеме</w:t>
            </w:r>
            <w:r>
              <w:rPr>
                <w:i/>
                <w:sz w:val="21"/>
              </w:rPr>
              <w:t>,</w:t>
            </w:r>
            <w:r>
              <w:rPr>
                <w:sz w:val="21"/>
              </w:rPr>
              <w:t xml:space="preserve"> ЦЕДЕНТ обязуется направить Должникам, поручителям уведомления заказным письмом с уведомлением о вручении о совершенной уступке прав (требований) ЦЕССИОНАРИЮ и в течение одного рабочего дня предоставить ЦЕССИОНАРИЮ копию такого уведомления и доказательства его направления, а также в течение одного рабочего дня предоставить доказательства вручения уведомления.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2.6. Должники, поручители считаются обязанными перед ЦЕССИОНАРИЕМ по обязател</w:t>
            </w:r>
            <w:r w:rsidR="00011E73">
              <w:rPr>
                <w:sz w:val="21"/>
              </w:rPr>
              <w:t>ьствам, указанным в пунктах 1.1</w:t>
            </w:r>
            <w:r>
              <w:rPr>
                <w:sz w:val="21"/>
              </w:rPr>
              <w:t>-1.3. Договора, а их обязательства в отношении ЦЕДЕНТА считаются прекращенными с даты поступления денежных средств на счет ЦЕДЕНТА в сумме, указанной в п.2.1 Договора, в полном объеме. Залогодатели, поручители, указанные в п 1.3. Договора, считаются обязанными перед ЦЕССИОНАРИЕМ по обязательствам, указанным в п. 1.3.</w:t>
            </w:r>
            <w:r w:rsidR="00011E73">
              <w:rPr>
                <w:sz w:val="21"/>
              </w:rPr>
              <w:t xml:space="preserve"> </w:t>
            </w:r>
            <w:r>
              <w:rPr>
                <w:sz w:val="21"/>
              </w:rPr>
              <w:t>Договора, а их обязательства в отношении ЦЕДЕНТА считаются прекращенными с даты поступления денежных средств на счет ЦЕДЕНТА в соответствии с пунктами 2.</w:t>
            </w:r>
            <w:proofErr w:type="gramStart"/>
            <w:r>
              <w:rPr>
                <w:sz w:val="21"/>
              </w:rPr>
              <w:t>1.-</w:t>
            </w:r>
            <w:proofErr w:type="gramEnd"/>
            <w:r>
              <w:rPr>
                <w:sz w:val="21"/>
              </w:rPr>
              <w:t>2.2.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2.7. ЦЕДЕНТ обязан перечислить денежные средства, поступившие ЦЕДЕНТУ в качестве исполнения обязательств Должников после состоявшейся уступки прав (требования), на счет ЦЕССИОНАРИЯ.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2.8. ЦЕССИОНАРИЙ самостоятельно с момента полной оплаты по Договору обращается в компетентные суды с заявлением о процессуальном правопреемстве в рамках судебных разбирательств с участием ЦЕДЕНТА и Должников, поручителей, залогодателей по обязательствам, являющимся предметом договора уступки прав (цессии). </w:t>
            </w:r>
          </w:p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3. Ответственность сторон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3.1.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sz w:val="21"/>
              </w:rPr>
              <w:t>3.2. Принимая во внимание исследования, проведенные ЦЕССИОНАРИЕМ в отношении Кредитных договоров и сделок, заключенных в обеспечение исполнения обязательств по Кредитным договорам/Договорам поручительства, учитывая вывод ЦЕССИОНАРИЯ о том, что Кредитные договоры и сделки, заключенные в обеспечение исполнения обязательств Должников по Кредитным договорам, являются действительными и надлежащим образом заключенными сделками, что права (требования), вытекающие из указанных сделок, являются действительными, настоящим согласно положениям ст. 15, ст.404 Гражданского кодекса Российской Федерации, ЦЕССИОНАРИЙ и ЦЕДЕНТ устанавливают предел ответственности ЦЕДЕНТА в случае, если уступаемые права будут признаны недействительными по причинам, не относящимся к обстоятельствам, закрепленным Договором, как исключающим ответственность ЦЕДЕНТА, и определяют в объеме, не превышающим 10 000 (десять тысяч) рублей.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3.3. ЦЕССИОНАРИЙ в рамках договора цессии действует в своих интересах и учитывает все риски, сопровождающие полученные им по договору права (требования) к Должникам.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3.4. ЦЕДЕНТ не отвечает перед ЦЕССИОНАРИЕМ за недействительность уступаемых прав в случае недобросовестного поведения ЦЕССИОНАРИЯ, если: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- ЦЕССИОНАРИЙ и/или любой иной кредитор, которому будут переданы уступаемые права, своевременно не обеспечит ЦЕДЕНТА всеми процессуальными возможностями (путем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прав, путем направления соответствующих ходатайств в уполномоченный суд о привлечении ЦЕДЕНТА в соответствующий процесс в качестве третьего лица) осуществлять защиту правомерности/законности/действительности уступаемых прав в любых и во всех судебных процессах от всех и любых исков и требований, </w:t>
            </w:r>
            <w:r>
              <w:rPr>
                <w:sz w:val="21"/>
              </w:rPr>
              <w:lastRenderedPageBreak/>
              <w:t>направленных на признание уступаемых прав недействительными/незаконными/ неправомерными в целом либо в части; и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ЦЕССИОНАРИЙ и/или любой иной кредитор, которому будут переданы уступаемые права, в любых и во всех судебных процессах по всем и любым искам и требованиям, направленным на признание уступаемых прав недействительными/незаконными/неправомерными, не предпримет разумные усилия для защиты уступаемых прав от указанных исков и требований (в том числе, уведомить ЦЕДЕНТА об указанных в настоящем пункте судебных процессах,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процессах).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Во избежание сомнений буллиты (условия) настоящего подпункта не заменяют и не исключают друг друга, но применяются одновременно.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Во избежание сомнений с целью обеспечения обязательств ЦЕССИОНАРИЯ, установленных настоящим пунктом Договора, ЦЕССИОНАРИЙ должен добросовестно предпринимать все разумные меры материально-правового, процессуального и переговорного характера (в том числе, но не исключительно уведомить ЦЕДЕНТА о судебных процессах по всем и любым искам и требованиям, направленным на признание уступаемых прав недействительными/незаконными/неправомерными,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процессах).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ЦЕДЕНТ не несет ответственности перед ЦЕССИОНАРИЕМ за недействительность переданного ему требования по Договору, включая требования по правам, обеспечивающим исполнение обязательств, и правам на проценты, при условии, что такая недействительность вызвана обстоятельствами, о которых ЦЕДЕНТ не знал или не мог знать, или о которых он предупредил ЦЕССИОНАРИЯ.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sz w:val="21"/>
              </w:rPr>
              <w:t>3.5. Если вступившим в законную силу судебным актом будет установлено или признано, что Договоры, указанные в пунктах 1.1., 1.3 являются недействительными или незаключенными, к ЦЕССИНАРИЮ переходит право требовать от Должников возврата полученного по данным договорам или возврата неосновательного обогащения с учетом процентов по ст. 395 Гражданского кодекса Российской Федерации.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3.6. ЦЕССИОНАРИЙ в порядке ст.431.2 ГК РФ несет ответственность за недостоверные заверения о своей платежеспособности и достаточности имущества в размере 20% от цены сделки.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color w:val="FF0000"/>
                <w:sz w:val="21"/>
              </w:rPr>
            </w:pPr>
            <w:r>
              <w:rPr>
                <w:color w:val="FF0000"/>
                <w:sz w:val="21"/>
              </w:rPr>
              <w:t xml:space="preserve">3.7. В случае нарушения ЦЕССИОНАРИЕМ сроков оплаты, указанных в п. 2.2. Договора, более чем на 5 (пять) рабочих дней ЦЕДЕНТ имеет право в соответствии с п. 4 ст. 328 Гражданского кодекса Российской Федерации требовать от ЦЕССИОНАРИЯ оплаты по Договору, в том числе в судебном порядке, либо обратится в суд с требованием о расторжении настоящего договора. 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color w:val="00B050"/>
                <w:sz w:val="21"/>
                <w:u w:val="double"/>
              </w:rPr>
            </w:pPr>
            <w:r>
              <w:rPr>
                <w:color w:val="00B050"/>
                <w:sz w:val="21"/>
                <w:u w:val="double"/>
              </w:rPr>
              <w:t>3.8. Если договор цессии будет признан недействительным по инициативе ЦЕССИОНАРИЯ, будет восстановлено первоначальное положение всех участников указанной сделки и исключено образование неосновательного обогащения на чьей-либо стороне в результате применения реституции, в том числе взысканы проценты в соответствии со статьей 395 Гражданского кодекса РФ.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sz w:val="21"/>
              </w:rPr>
              <w:t xml:space="preserve">В случае, если к моменту признания недействительным договора цессии рыночная стоимость уступаемых ЦЕДЕНТОМ прав будет ниже стоимости данных прав на момент совершения договора цессии, </w:t>
            </w:r>
            <w:proofErr w:type="gramStart"/>
            <w:r>
              <w:rPr>
                <w:sz w:val="21"/>
              </w:rPr>
              <w:t>ЦЕССИОНАРИЙ  обязан</w:t>
            </w:r>
            <w:proofErr w:type="gramEnd"/>
            <w:r>
              <w:rPr>
                <w:sz w:val="21"/>
              </w:rPr>
              <w:t xml:space="preserve"> будет компенсировать ЦЕДЕНТУ упущенную выгоду в сумме разницы рыночной стоимости уступаемых ЦЕДЕНТОМ прав.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3.9. Если указанные в Договоре права (требования) будут частично погашены до момента их перехода к ЦЕССИОНАРИЮ, цена Договора подлежит уменьшению пропорционально снижению общей суммы уступаемых прав, обусловленному таким погашением. В случае полного погашения уступаемых прав до момента их перехода к ЦЕССИОНАРИЮ обязательства Сторон по настоящему договору прекращаются. В случае поступления на счет ЦЕДЕНТА денежных средств от Должников в качестве погашения (в </w:t>
            </w:r>
            <w:proofErr w:type="spellStart"/>
            <w:r>
              <w:rPr>
                <w:sz w:val="21"/>
              </w:rPr>
              <w:t>т.ч</w:t>
            </w:r>
            <w:proofErr w:type="spellEnd"/>
            <w:r>
              <w:rPr>
                <w:sz w:val="21"/>
              </w:rPr>
              <w:t>. частичного) задолженности после перехода прав (требований) к ЦЕССИОНАРИЮ, ЦЕДЕНТ обязан не позднее 5 (Пяти) рабочих дней перечислить поступившие денежные средства на счет ЦЕССИОНАРИЯ, указанный в договоре цессии в разделе реквизитов сторон.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i/>
                <w:sz w:val="21"/>
              </w:rPr>
            </w:pPr>
            <w:r>
              <w:rPr>
                <w:sz w:val="21"/>
              </w:rPr>
              <w:t xml:space="preserve">3.10. В случае, если Договор по каким-либо обстоятельствам будет расторгнут по основаниям, предусмотренным договором цессии и действующим законодательством, или признан недействительным в судебном порядке (в </w:t>
            </w:r>
            <w:proofErr w:type="spellStart"/>
            <w:r>
              <w:rPr>
                <w:sz w:val="21"/>
              </w:rPr>
              <w:t>т.ч</w:t>
            </w:r>
            <w:proofErr w:type="spellEnd"/>
            <w:r>
              <w:rPr>
                <w:sz w:val="21"/>
              </w:rPr>
              <w:t>. в рамках банкротства ЦЕССИОНАРИЯ или ЦЕДЕНТА и в иных случаях), и ЦЕССИОНАРИЙ к моменту признания договора недействительным не исполнит предоставленные им заверения (повлекшие, в том числе, утрату или уменьшение размера/стоимости переданных ЦЕССИОНАРИЮ прав по Обеспечительным договорам), ЦЕССИОНАРИЙ должен будет возместить ЦЕДЕНТУ убытки, причиненные утратой прав по Кредитным договорам и/или Обеспечительным договорам.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ЦЕССИОНАРИЙ вправе обратиться к ЦЕДЕНТУ за возмещением убытков, причиненных ему вследствие признания приобретенных им прав недействительными, только в случае, если сам </w:t>
            </w:r>
            <w:r>
              <w:rPr>
                <w:sz w:val="21"/>
              </w:rPr>
              <w:lastRenderedPageBreak/>
              <w:t>ЦЕССИОНАРИЙ демонстрировал добросовестное поведение в рамках соответствующих судебных процессов, а именно, прямо или косвенно не способствовал признанию полученных им по цессии прав недействительными, а также обеспечил возможность ЦЕДЕНТУ (в том числе процессуальными средствами: путем направления в суд ходатайства о привлечении ЦЕДЕНТА в процесс в качестве третьего лица и/или предоставления представителям ЦЕДЕНТА судебных доверенностей) защитить переданные права от соответствующих исков.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sz w:val="21"/>
              </w:rPr>
              <w:t>3.11. ЦЕССИОНАРИЙ подтверждает, что права ЦЕДЕНТА к Должникам приобретаются на рыночных условиях, не отличающихся в худшую сторону от сделок, совершаемых в подобных условиях.</w:t>
            </w:r>
          </w:p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4. Срок действия Договора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4.1.   Договор вступает в силу с момента его нотариального удостоверения.</w:t>
            </w:r>
          </w:p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5. Прочие условия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5.1. Вся ранее имевшаяся переписка между ЦЕДЕНТОМ и ЦЕССИОНАРИЕМ относительно уступки прав (требований) ЦЕДЕНТА утрачивает силу с момента вступления в силу Договора, согласно п.4.1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5.2. Стороны пришли к соглашению о том, что заявления о процессуальном правопреемстве по спорам, указанным в п. 5.3 Договора, подаются в суд только после получения ЦЕДЕНТОМ оплаты по Договору в полном объеме.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5.3. ЦЕССИОНАРИЙ извещён обо всех судебных требованиях к Должникам, поручителям, залогодателям, сведения о которых опубликованы на сайте Верховного суда Российской Федерации в картотеке арбитражных дел www.kad.arbitr.ru и в системе ГАС «Правосудие» на сайте https://sudrf.ru, обо всех сообщениях о намерении обратиться с заявлением о признании Должников банкротом и иных фактах о деятельности юридических лиц на сайте https://fedresurs.ru, обо всех возбужденных исполнительных производствах, информация о которых размещена в электронном сервисе «Банк данных исполнительных производств» на сайте ФССП РФ http://fssprus.ru, обо всех фактах, размещенных ФНС РФ на сервисе «Прозрачный бизнес» на сайте https://pb.nalog.ru, и иной необходимой информации, в том числе в иных открытых источниках.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5.4. Уступка прав (требований), указанных в пунктах 1.</w:t>
            </w:r>
            <w:proofErr w:type="gramStart"/>
            <w:r>
              <w:rPr>
                <w:sz w:val="21"/>
              </w:rPr>
              <w:t>1.-</w:t>
            </w:r>
            <w:proofErr w:type="gramEnd"/>
            <w:r>
              <w:rPr>
                <w:sz w:val="21"/>
              </w:rPr>
              <w:t xml:space="preserve"> 1.3. Договора, является основанием для производства Сторонами процессуального правопреемства по указанным процедурам. ЦЕССИОНАРИЙ самостоятельно с момента полной оплаты прав (требований) по Договору, обращается в компетентные суды с заявлением о процессуальном правопреемстве в рамках судебных разбирательств с участием ЦЕДЕНТА и Должников по обязательствам, являющимся предметом настоящего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5.5. Уведомление или сообщение, направленное ЦЕССИОНАРИЮ, считается направленным надлежащим образом, если оно доставлено адресату нарочным или заказным письмом, или телеграммой с уведомлением, по адресу, указанному в Договоре, и за подписью уполномоченного лица.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Уведомление или сообщение ЦЕДЕНТА считается доставленным ЦЕССИОНАРИЮ надлежащим образом, если оно получено ЦЕССИОНАРИЕМ, а также в случаях, если, несмотря на направление уведомления (сообщения) ЦЕДЕНТОМ в соответствии с условиями Договора, ЦЕССИОНАРИЙ не явился за его получением или отказался от его получения, или уведомление (сообщение) не вручено в связи с отсутствием адресата по указанному в уведомлении (сообщении) адресу, о чем орган связи проинформировал ЦЕДЕНТА. Датой доставки уведомления или сообщения ЦЕДЕНТА считается дата его получения ЦЕССИОНАРИЕМ, а при неявке ЦЕССИОНАРИЯ за получением уведомления (сообщения) с требованием ЦЕДЕНТА или отказе от его получения, или его невручении в связи с отсутствием адресата по указанному в уведомлении (сообщении) адресу - дата отправки органом связи уведомления ЦЕДЕНТУ о невручении ЦЕССИОНАРИЮ требования ЦЕДЕНТА.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5.6. Все споры, разногласия или требования, возникающие из Договора или в связи с ним, в том числе касающиеся его возникновения, изменения, нарушения, исполнения, прекращения, недействительности или </w:t>
            </w:r>
            <w:proofErr w:type="spellStart"/>
            <w:r>
              <w:rPr>
                <w:sz w:val="21"/>
              </w:rPr>
              <w:t>незаключенности</w:t>
            </w:r>
            <w:proofErr w:type="spellEnd"/>
            <w:r>
              <w:rPr>
                <w:sz w:val="21"/>
              </w:rPr>
              <w:t>, рассматриваются в соответствии с действующим законодательством РФ.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lastRenderedPageBreak/>
              <w:t>5.7. При установлении,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(п. 3 ст.1 Гражданского кодекса Российской Федерации).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Добросовестность участников гражданских правоотношений и разумность их действий предполагаются (п.5 ст. 10 Гражданского кодекса Российской Федерации). 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При установлении, исполнении обязательства и после его прекращения стороны обязаны действовать добросовестно, учитывая права и законные интересы друг друга, взаимно оказывая необходимое содействие для достижения цели обязательства, а также предоставляя друг другу необходимую информацию (п.3 ст. 307 Гражданского кодекса Российской Федерации).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5.8. Сторонам разъяснены положения Федерального закона «О несостоятельности (банкротстве)» № 127-ФЗ от 26 октября 2002 года о том, что в случаях, установленных законом, сделка, совершенная должником в течение трех лет до принятия заявления о признании должника банкротом, может быть признана арбитражным судом недействительной.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5.9. ЦЕССИОНАРИЙ и представитель ЦЕДЕНТА при заключении настоящего договора дают друг другу заверения об обстоятельствах, имеющих значение для заключения настоящего соглашения, его исполнения или прекращения, а именно, что: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- они в дееспособности не ограничены, дееспособности не лишены, под опекой, попечительством, а также патронажем не состоят, действуют добросовестно и разумно, заключают настоящий договор по своей воле, свободны в определении любых, не противоречащих законодательству условий договора, по состоянию здоровья могут самостоятельно осуществлять и защищать права сторон и исполнять обязанности, не страдают заболеваниями, препятствующими осознавать суть подписываемого договора и обстоятельства его заключения, 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настоящий договор не является мнимой сделкой (совершенной лишь для вида, без намерения создать соответствующие ей правовые последствия), не является притворной (совершенной с целью прикрыть другую сделку), совершается не под влиянием обмана, насилия, угрозы или вследствие стечения тяжелых обстоятельств на крайне невыгодных для сторон условиях,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- Стороны и представитель ЦЕДЕНТА должниками не являются, ограничений по распоряжению имуществом  никем не установлено, они не признаны банкротами, в отношении них не возбуждалось и не ведется дел о банкротстве, они не имеют долгов и/или любых иных не исполненных обязательств (кроме указанных выше), которые могут повлечь за собой возбуждение в отношении них дела о банкротстве и/или о взыскании денежных средств, им ничего не известно о кредиторах, которые могут обратиться в суд с иском о признании их банкротами, Стороны в состоянии исполнить денежные обязательства и не отвечают признакам неплатежеспособности и/или признакам недостаточности имущества в соответствии с Федеральным законом от 26.10.2002 № 127 ФЗ «О несостоятельности (банкротстве)», с заявлениями в арбитражный суд о признании их  банкротами никто не обращался.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5.10.  Согласно информации, полученной на интернет-портале www.bankrot.fedresurs.ru, по состояни</w:t>
            </w:r>
            <w:r>
              <w:rPr>
                <w:sz w:val="21"/>
                <w:u w:val="double"/>
              </w:rPr>
              <w:t>ю на _________ года в Едином</w:t>
            </w:r>
            <w:r>
              <w:rPr>
                <w:sz w:val="21"/>
              </w:rPr>
              <w:t xml:space="preserve"> федеральном реестре сведений о банкротстве отсутствуют сведения о сторонах Соглашения и представителе ЦЕДЕНТА.  </w:t>
            </w:r>
          </w:p>
          <w:p w:rsidR="00011E73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  <w:u w:val="double"/>
              </w:rPr>
            </w:pPr>
            <w:r>
              <w:rPr>
                <w:sz w:val="21"/>
                <w:u w:val="double"/>
              </w:rPr>
              <w:t xml:space="preserve">5.11. В соответствии со ст. 35 Семейного кодекса РФ получено согласие супруги ЦЕССИОНАРИЯ - _____________, на </w:t>
            </w:r>
            <w:r w:rsidR="00011E73">
              <w:rPr>
                <w:sz w:val="21"/>
                <w:u w:val="double"/>
              </w:rPr>
              <w:t>заключение настоящего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5.12. Расходы по удостоверению настоящего договора Стороны оплачивают поровну.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 xml:space="preserve">5.13. Настоящий договор составлен в 3 (трех) экземплярах, </w:t>
            </w:r>
            <w:r w:rsidR="00011E73">
              <w:rPr>
                <w:sz w:val="21"/>
              </w:rPr>
              <w:t>два экземпляра передается в Банк</w:t>
            </w:r>
            <w:r>
              <w:rPr>
                <w:sz w:val="21"/>
              </w:rPr>
              <w:t xml:space="preserve"> и экземпляру выдается участник</w:t>
            </w:r>
            <w:r w:rsidR="00011E73">
              <w:rPr>
                <w:sz w:val="21"/>
              </w:rPr>
              <w:t>у</w:t>
            </w:r>
            <w:r>
              <w:rPr>
                <w:sz w:val="21"/>
              </w:rPr>
              <w:t xml:space="preserve"> договора.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5.14. Участники, подписавшие договор, заявляют, что информация об условиях сделки, юридически значимых сообщениях, заявлениях, заверениях об обстоятельствах, о соответствии условий сделки действительным намерениям ее сторон установлена непосредственно из объяснений (со слов заявителей).  Участники договора подтверждают, что в соответствии со ст. 54 Основ законодательства РФ о нотариате получили все необходимые разъяснения по сделке, в том числе о правовых последствиях совершаемой сделки, содержание договора им полностью понятно, условия настоящей сделки соответствуют воле и намерениям сторон, никаких изменений и дополнений к вышеизложенному тексту договора не имеют.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sz w:val="21"/>
              </w:rPr>
              <w:t>Настоящий договор прочитан вслух.</w:t>
            </w:r>
          </w:p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jc w:val="center"/>
              <w:rPr>
                <w:sz w:val="21"/>
              </w:rPr>
            </w:pPr>
            <w:r>
              <w:rPr>
                <w:b/>
                <w:sz w:val="21"/>
              </w:rPr>
              <w:t xml:space="preserve">6. Адреса </w:t>
            </w:r>
            <w:proofErr w:type="gramStart"/>
            <w:r>
              <w:rPr>
                <w:b/>
                <w:sz w:val="21"/>
              </w:rPr>
              <w:t>и  реквизиты</w:t>
            </w:r>
            <w:proofErr w:type="gramEnd"/>
            <w:r>
              <w:rPr>
                <w:b/>
                <w:sz w:val="21"/>
              </w:rPr>
              <w:t xml:space="preserve"> Сторон: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b/>
                <w:sz w:val="21"/>
              </w:rPr>
              <w:t>6.1. ЦЕДЕНТ: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b/>
                <w:sz w:val="21"/>
              </w:rPr>
              <w:t>Публичное акционерное общество «Сбербанк России»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Место нахождения: 117997 город Москва, улица Вавилова, дом 19.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Адрес: 660028 город Красноярск, проспект Свободный, 46.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Почтовый адрес: 660028 город Красноярск, проспект Свободный, 46.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Банк получателя: СИБИРСКИЙ БАНК ПАО СБЕРБАНК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lastRenderedPageBreak/>
              <w:t>К/счет банка получателя: №30101810500000000641 в СИБИРСКОЕ ГУ БАНКА РОССИИ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БИК банка получателя: 045004641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ИНН получателя: 7707083893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Получатель: СИБИРСКИЙ БАНК ПАО СБЕРБАНК</w:t>
            </w: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  <w:r>
              <w:rPr>
                <w:sz w:val="21"/>
              </w:rPr>
              <w:t>Счет получателя 47422810344009999888</w:t>
            </w:r>
          </w:p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  <w:p w:rsidR="00AB1E10" w:rsidRDefault="00306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b/>
                <w:sz w:val="21"/>
              </w:rPr>
            </w:pPr>
            <w:r>
              <w:rPr>
                <w:b/>
                <w:sz w:val="21"/>
              </w:rPr>
              <w:t>6.2. ЦЕССИОНАРИЙ:</w:t>
            </w:r>
          </w:p>
          <w:p w:rsidR="00AB1E10" w:rsidRDefault="00AB1E10" w:rsidP="00FA7D2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25"/>
              <w:contextualSpacing/>
              <w:rPr>
                <w:sz w:val="21"/>
              </w:rPr>
            </w:pPr>
          </w:p>
        </w:tc>
      </w:tr>
    </w:tbl>
    <w:p w:rsidR="00AB1E10" w:rsidRDefault="00AB1E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8"/>
        <w:contextualSpacing/>
        <w:jc w:val="both"/>
        <w:rPr>
          <w:sz w:val="21"/>
        </w:rPr>
      </w:pPr>
    </w:p>
    <w:tbl>
      <w:tblPr>
        <w:tblStyle w:val="1"/>
        <w:tblW w:w="5000" w:type="pct"/>
        <w:jc w:val="right"/>
        <w:tblBorders>
          <w:top w:val="none" w:sz="0" w:space="0" w:color="000000"/>
          <w:left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481"/>
      </w:tblGrid>
      <w:tr w:rsidR="00AB1E10">
        <w:trPr>
          <w:jc w:val="right"/>
        </w:trPr>
        <w:tc>
          <w:tcPr>
            <w:tcW w:w="1041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AB1E10" w:rsidRDefault="00AB1E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708"/>
              <w:contextualSpacing/>
              <w:rPr>
                <w:sz w:val="21"/>
              </w:rPr>
            </w:pPr>
          </w:p>
        </w:tc>
      </w:tr>
    </w:tbl>
    <w:p w:rsidR="00AB1E10" w:rsidRDefault="00AB1E10">
      <w:pPr>
        <w:contextualSpacing/>
        <w:jc w:val="center"/>
        <w:rPr>
          <w:b/>
          <w:sz w:val="21"/>
        </w:rPr>
      </w:pPr>
    </w:p>
    <w:p w:rsidR="00AB1E10" w:rsidRDefault="00AB1E10">
      <w:pPr>
        <w:ind w:firstLine="708"/>
        <w:contextualSpacing/>
        <w:jc w:val="both"/>
        <w:rPr>
          <w:sz w:val="22"/>
        </w:rPr>
      </w:pPr>
      <w:bookmarkStart w:id="0" w:name="_GoBack"/>
      <w:bookmarkEnd w:id="0"/>
    </w:p>
    <w:p w:rsidR="00AB1E10" w:rsidRDefault="00AB1E10">
      <w:pPr>
        <w:contextualSpacing/>
        <w:jc w:val="both"/>
        <w:rPr>
          <w:sz w:val="22"/>
        </w:rPr>
      </w:pPr>
    </w:p>
    <w:sectPr w:rsidR="00AB1E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97" w:right="1010" w:bottom="602" w:left="1416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575" w:rsidRDefault="00FD3575">
      <w:r>
        <w:separator/>
      </w:r>
    </w:p>
  </w:endnote>
  <w:endnote w:type="continuationSeparator" w:id="0">
    <w:p w:rsidR="00FD3575" w:rsidRDefault="00FD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E10" w:rsidRDefault="003064A1">
    <w:pPr>
      <w:jc w:val="center"/>
    </w:pPr>
    <w:r>
      <w:fldChar w:fldCharType="begin"/>
    </w:r>
    <w:r>
      <w:instrText>PAGE</w:instrText>
    </w:r>
    <w:r>
      <w:fldChar w:fldCharType="separate"/>
    </w:r>
    <w:r w:rsidR="006A2A3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E10" w:rsidRDefault="00011E73">
    <w:pPr>
      <w:jc w:val="center"/>
    </w:pPr>
    <w:r>
      <w:rPr>
        <w:noProof/>
      </w:rPr>
      <w:drawing>
        <wp:inline distT="0" distB="0" distL="0" distR="0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064A1">
      <w:fldChar w:fldCharType="begin"/>
    </w:r>
    <w:r w:rsidR="003064A1">
      <w:instrText>PAGE</w:instrText>
    </w:r>
    <w:r w:rsidR="003064A1">
      <w:fldChar w:fldCharType="separate"/>
    </w:r>
    <w:r w:rsidR="006A2A31">
      <w:rPr>
        <w:noProof/>
      </w:rPr>
      <w:t>3</w:t>
    </w:r>
    <w:r w:rsidR="003064A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C4" w:rsidRDefault="00AF31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575" w:rsidRDefault="00FD3575">
      <w:r>
        <w:separator/>
      </w:r>
    </w:p>
  </w:footnote>
  <w:footnote w:type="continuationSeparator" w:id="0">
    <w:p w:rsidR="00FD3575" w:rsidRDefault="00FD3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C4" w:rsidRDefault="00AF31C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5000" w:type="pct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tblBorders>
      <w:tblLook w:val="04A0" w:firstRow="1" w:lastRow="0" w:firstColumn="1" w:lastColumn="0" w:noHBand="0" w:noVBand="1"/>
    </w:tblPr>
    <w:tblGrid>
      <w:gridCol w:w="9481"/>
    </w:tblGrid>
    <w:tr w:rsidR="00AB1E10">
      <w:trPr>
        <w:trHeight w:hRule="exact" w:val="1786"/>
      </w:trPr>
      <w:tc>
        <w:tcPr>
          <w:tcW w:w="5000" w:type="pct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:rsidR="00AB1E10" w:rsidRDefault="00AB1E10"/>
      </w:tc>
    </w:tr>
  </w:tbl>
  <w:p w:rsidR="00AB1E10" w:rsidRDefault="00AB1E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C4" w:rsidRDefault="00AF31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B92C9"/>
    <w:multiLevelType w:val="hybridMultilevel"/>
    <w:tmpl w:val="281ACCF4"/>
    <w:lvl w:ilvl="0" w:tplc="064AB4DF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2EAE24D7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3C87067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AD7D9E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163C3D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66E1AE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43833263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A3A1BDA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7E32F78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285F6E64"/>
    <w:multiLevelType w:val="multilevel"/>
    <w:tmpl w:val="CB9818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rtl w:val="0"/>
        <w:cs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ascii="Times New Roman" w:hAnsi="Times New Roman" w:cs="Times New Roman"/>
        <w:rtl w:val="0"/>
        <w:cs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ascii="Times New Roman" w:hAnsi="Times New Roman" w:cs="Times New Roman"/>
        <w:rtl w:val="0"/>
        <w:cs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hAnsi="Times New Roman" w:cs="Times New Roman"/>
        <w:rtl w:val="0"/>
        <w:cs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hAnsi="Times New Roman" w:cs="Times New Roman"/>
        <w:rtl w:val="0"/>
        <w:cs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hAnsi="Times New Roman" w:cs="Times New Roman"/>
        <w:rtl w:val="0"/>
        <w:cs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/>
        <w:rtl w:val="0"/>
        <w:cs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/>
        <w:rtl w:val="0"/>
        <w:cs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/>
        <w:rtl w:val="0"/>
        <w:cs/>
      </w:rPr>
    </w:lvl>
  </w:abstractNum>
  <w:abstractNum w:abstractNumId="2" w15:restartNumberingAfterBreak="0">
    <w:nsid w:val="4FAD55EA"/>
    <w:multiLevelType w:val="multilevel"/>
    <w:tmpl w:val="4D2862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rtl w:val="0"/>
        <w:cs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ascii="Times New Roman" w:hAnsi="Times New Roman" w:cs="Times New Roman"/>
        <w:rtl w:val="0"/>
        <w:cs/>
      </w:rPr>
    </w:lvl>
    <w:lvl w:ilvl="2">
      <w:start w:val="1"/>
      <w:numFmt w:val="decimal"/>
      <w:lvlText w:val="%1.%2.%3."/>
      <w:lvlJc w:val="left"/>
      <w:pPr>
        <w:ind w:left="1776" w:hanging="720"/>
      </w:pPr>
      <w:rPr>
        <w:rFonts w:ascii="Times New Roman" w:hAnsi="Times New Roman" w:cs="Times New Roman"/>
        <w:rtl w:val="0"/>
        <w:cs/>
      </w:rPr>
    </w:lvl>
    <w:lvl w:ilvl="3">
      <w:start w:val="1"/>
      <w:numFmt w:val="decimal"/>
      <w:lvlText w:val="%1.%2.%3.%4."/>
      <w:lvlJc w:val="left"/>
      <w:pPr>
        <w:ind w:left="2124" w:hanging="720"/>
      </w:pPr>
      <w:rPr>
        <w:rFonts w:ascii="Times New Roman" w:hAnsi="Times New Roman" w:cs="Times New Roman"/>
        <w:rtl w:val="0"/>
        <w:cs/>
      </w:rPr>
    </w:lvl>
    <w:lvl w:ilvl="4">
      <w:start w:val="1"/>
      <w:numFmt w:val="decimal"/>
      <w:lvlText w:val="%1.%2.%3.%4.%5."/>
      <w:lvlJc w:val="left"/>
      <w:pPr>
        <w:ind w:left="2832" w:hanging="1080"/>
      </w:pPr>
      <w:rPr>
        <w:rFonts w:ascii="Times New Roman" w:hAnsi="Times New Roman" w:cs="Times New Roman"/>
        <w:rtl w:val="0"/>
        <w:cs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="Times New Roman" w:hAnsi="Times New Roman" w:cs="Times New Roman"/>
        <w:rtl w:val="0"/>
        <w:cs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ascii="Times New Roman" w:hAnsi="Times New Roman" w:cs="Times New Roman"/>
        <w:rtl w:val="0"/>
        <w:cs/>
      </w:rPr>
    </w:lvl>
    <w:lvl w:ilvl="7">
      <w:start w:val="1"/>
      <w:numFmt w:val="decimal"/>
      <w:lvlText w:val="%1.%2.%3.%4.%5.%6.%7.%8."/>
      <w:lvlJc w:val="left"/>
      <w:pPr>
        <w:ind w:left="4236" w:hanging="1440"/>
      </w:pPr>
      <w:rPr>
        <w:rFonts w:ascii="Times New Roman" w:hAnsi="Times New Roman" w:cs="Times New Roman"/>
        <w:rtl w:val="0"/>
        <w:cs/>
      </w:rPr>
    </w:lvl>
    <w:lvl w:ilvl="8">
      <w:start w:val="1"/>
      <w:numFmt w:val="decimal"/>
      <w:lvlText w:val="%1.%2.%3.%4.%5.%6.%7.%8.%9."/>
      <w:lvlJc w:val="left"/>
      <w:pPr>
        <w:ind w:left="4944" w:hanging="1800"/>
      </w:pPr>
      <w:rPr>
        <w:rFonts w:ascii="Times New Roman" w:hAnsi="Times New Roman" w:cs="Times New Roman"/>
        <w:rtl w:val="0"/>
        <w:cs/>
      </w:rPr>
    </w:lvl>
  </w:abstractNum>
  <w:abstractNum w:abstractNumId="3" w15:restartNumberingAfterBreak="0">
    <w:nsid w:val="53FE1023"/>
    <w:multiLevelType w:val="multilevel"/>
    <w:tmpl w:val="ED520F6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rtl w:val="0"/>
        <w:cs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ascii="Times New Roman" w:hAnsi="Times New Roman" w:cs="Times New Roman"/>
        <w:rtl w:val="0"/>
        <w:cs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/>
        <w:rtl w:val="0"/>
        <w:cs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hAnsi="Times New Roman" w:cs="Times New Roman"/>
        <w:rtl w:val="0"/>
        <w:cs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hAnsi="Times New Roman" w:cs="Times New Roman"/>
        <w:rtl w:val="0"/>
        <w:cs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hAnsi="Times New Roman" w:cs="Times New Roman"/>
        <w:rtl w:val="0"/>
        <w:cs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/>
        <w:rtl w:val="0"/>
        <w:cs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/>
        <w:rtl w:val="0"/>
        <w:cs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/>
        <w:rtl w:val="0"/>
        <w:cs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10"/>
    <w:rsid w:val="00011E73"/>
    <w:rsid w:val="000C131D"/>
    <w:rsid w:val="00114732"/>
    <w:rsid w:val="003064A1"/>
    <w:rsid w:val="00502CD3"/>
    <w:rsid w:val="00641FB4"/>
    <w:rsid w:val="006A2A31"/>
    <w:rsid w:val="009A4CE3"/>
    <w:rsid w:val="009D0BC7"/>
    <w:rsid w:val="00AB1E10"/>
    <w:rsid w:val="00AF31C4"/>
    <w:rsid w:val="00C441BF"/>
    <w:rsid w:val="00C757F4"/>
    <w:rsid w:val="00D30C3C"/>
    <w:rsid w:val="00DE33B8"/>
    <w:rsid w:val="00EF0FE0"/>
    <w:rsid w:val="00FA7D2D"/>
    <w:rsid w:val="00FD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7DAA56"/>
  <w15:docId w15:val="{5DB59669-3002-4AB1-AC60-806F1FB1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  <w:jc w:val="both"/>
    </w:pPr>
    <w:rPr>
      <w:sz w:val="28"/>
    </w:rPr>
  </w:style>
  <w:style w:type="paragraph" w:styleId="a3">
    <w:name w:val="List Paragraph"/>
    <w:basedOn w:val="a"/>
    <w:pPr>
      <w:spacing w:after="160" w:line="258" w:lineRule="auto"/>
      <w:ind w:left="720"/>
      <w:contextualSpacing/>
    </w:pPr>
    <w:rPr>
      <w:rFonts w:ascii="Calibri" w:hAnsi="Calibri"/>
      <w:sz w:val="22"/>
    </w:rPr>
  </w:style>
  <w:style w:type="paragraph" w:styleId="20">
    <w:name w:val="Body Text 2"/>
    <w:basedOn w:val="a"/>
    <w:rPr>
      <w:b/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5">
    <w:name w:val="Title"/>
    <w:basedOn w:val="a"/>
    <w:pPr>
      <w:jc w:val="center"/>
    </w:pPr>
    <w:rPr>
      <w:b/>
      <w:sz w:val="28"/>
    </w:rPr>
  </w:style>
  <w:style w:type="paragraph" w:styleId="3">
    <w:name w:val="Body Text 3"/>
    <w:basedOn w:val="a"/>
    <w:pPr>
      <w:tabs>
        <w:tab w:val="left" w:pos="9923"/>
      </w:tabs>
      <w:ind w:right="283"/>
      <w:jc w:val="both"/>
    </w:pPr>
    <w:rPr>
      <w:b/>
    </w:rPr>
  </w:style>
  <w:style w:type="paragraph" w:styleId="a6">
    <w:name w:val="footnote text"/>
    <w:basedOn w:val="a"/>
    <w:rPr>
      <w:sz w:val="20"/>
    </w:rPr>
  </w:style>
  <w:style w:type="character" w:styleId="a7">
    <w:name w:val="line number"/>
    <w:basedOn w:val="a0"/>
    <w:semiHidden/>
  </w:style>
  <w:style w:type="character" w:styleId="a8">
    <w:name w:val="Hyperlink"/>
    <w:rPr>
      <w:color w:val="0000FF"/>
      <w:u w:val="single"/>
    </w:rPr>
  </w:style>
  <w:style w:type="table" w:styleId="1">
    <w:name w:val="Table Simple 1"/>
    <w:basedOn w:val="a1"/>
    <w:pPr>
      <w:ind w:firstLine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pPr>
      <w:ind w:firstLine="0"/>
      <w:jc w:val="left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AF31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3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20F36DCB8F683D3FD3D4E0C7684A436D.dms.sberbank.ru/20F36DCB8F683D3FD3D4E0C7684A436D-CA79F94EA4AA6FB7D73DBA986BD3B403-81E8EC72B029DA49D7CB25AE25C2D26D/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3175</Words>
  <Characters>21943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25047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Янченко Анна Ивановна</dc:creator>
  <cp:lastModifiedBy>Янченко Анна Ивановна</cp:lastModifiedBy>
  <cp:revision>3</cp:revision>
  <dcterms:created xsi:type="dcterms:W3CDTF">2023-05-29T03:04:00Z</dcterms:created>
  <dcterms:modified xsi:type="dcterms:W3CDTF">2023-05-29T03:04:00Z</dcterms:modified>
</cp:coreProperties>
</file>